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C3C" w:rsidRPr="00D56C3C" w:rsidRDefault="005747D3" w:rsidP="003527BB">
      <w:pPr>
        <w:pStyle w:val="NoSpacing"/>
        <w:spacing w:after="120"/>
        <w:jc w:val="both"/>
        <w:rPr>
          <w:rFonts w:asciiTheme="majorHAnsi" w:hAnsiTheme="majorHAnsi" w:cstheme="minorHAnsi"/>
          <w:b/>
          <w:u w:val="single"/>
        </w:rPr>
      </w:pPr>
      <w:r>
        <w:rPr>
          <w:rFonts w:asciiTheme="majorHAnsi" w:hAnsiTheme="majorHAnsi" w:cstheme="minorHAnsi"/>
          <w:b/>
          <w:u w:val="single"/>
        </w:rPr>
        <w:t xml:space="preserve">Batas materialitas untuk perusahaan pertambangan untuk laporan tahun </w:t>
      </w:r>
      <w:r w:rsidR="00D56C3C" w:rsidRPr="00D56C3C">
        <w:rPr>
          <w:rFonts w:asciiTheme="majorHAnsi" w:hAnsiTheme="majorHAnsi" w:cstheme="minorHAnsi"/>
          <w:b/>
          <w:u w:val="single"/>
        </w:rPr>
        <w:t xml:space="preserve">2010 </w:t>
      </w:r>
      <w:r>
        <w:rPr>
          <w:rFonts w:asciiTheme="majorHAnsi" w:hAnsiTheme="majorHAnsi" w:cstheme="minorHAnsi"/>
          <w:b/>
          <w:u w:val="single"/>
        </w:rPr>
        <w:t xml:space="preserve">dan </w:t>
      </w:r>
      <w:r w:rsidR="00D56C3C" w:rsidRPr="00D56C3C">
        <w:rPr>
          <w:rFonts w:asciiTheme="majorHAnsi" w:hAnsiTheme="majorHAnsi" w:cstheme="minorHAnsi"/>
          <w:b/>
          <w:u w:val="single"/>
        </w:rPr>
        <w:t xml:space="preserve">2011 </w:t>
      </w:r>
    </w:p>
    <w:p w:rsidR="005747D3" w:rsidRDefault="005747D3" w:rsidP="003527BB">
      <w:pPr>
        <w:spacing w:after="120" w:line="240" w:lineRule="auto"/>
        <w:jc w:val="both"/>
        <w:rPr>
          <w:rFonts w:asciiTheme="majorHAnsi" w:hAnsiTheme="majorHAnsi"/>
        </w:rPr>
      </w:pPr>
      <w:r>
        <w:rPr>
          <w:rFonts w:asciiTheme="majorHAnsi" w:hAnsiTheme="majorHAnsi"/>
        </w:rPr>
        <w:t xml:space="preserve">Penentuan perusahaan pertambangan yang akan melapor untuk laporan tahun 2010 dan 2011, akan berdasarkan kombinasi pajak penghasilan badan (PPh), royalty, dan penjualan hasil tambang (PHT) oleh setiap unit perusahaan tambang di tahun 2009 (merujuk laporan sebelumnya) dan data tambahan dari pembayaran royalty yang dibuat oleh unit perusahaan pertambangan di tahun 2010 (data diberikan dari Pemerintah). </w:t>
      </w:r>
    </w:p>
    <w:p w:rsidR="005747D3" w:rsidRDefault="005747D3" w:rsidP="003527BB">
      <w:pPr>
        <w:spacing w:after="120" w:line="240" w:lineRule="auto"/>
        <w:jc w:val="both"/>
        <w:rPr>
          <w:rFonts w:asciiTheme="majorHAnsi" w:hAnsiTheme="majorHAnsi"/>
        </w:rPr>
      </w:pPr>
      <w:r>
        <w:rPr>
          <w:rFonts w:asciiTheme="majorHAnsi" w:hAnsiTheme="majorHAnsi"/>
        </w:rPr>
        <w:t xml:space="preserve">Prosedur tahap demi tahap untuk menentukan batas materialitas untuk perusahaan pertambangan dijelaskan di bawah ini, dan daftar dari perusahaan pertambangan yang akan melapor dimuat dalam Lampiran 6. </w:t>
      </w:r>
    </w:p>
    <w:p w:rsidR="00D56C3C" w:rsidRPr="00D56C3C" w:rsidRDefault="005747D3" w:rsidP="003527BB">
      <w:pPr>
        <w:spacing w:after="120" w:line="240" w:lineRule="auto"/>
        <w:jc w:val="both"/>
        <w:rPr>
          <w:rFonts w:asciiTheme="majorHAnsi" w:hAnsiTheme="majorHAnsi"/>
          <w:b/>
          <w:i/>
        </w:rPr>
      </w:pPr>
      <w:r>
        <w:rPr>
          <w:rFonts w:asciiTheme="majorHAnsi" w:hAnsiTheme="majorHAnsi"/>
          <w:b/>
          <w:i/>
        </w:rPr>
        <w:t xml:space="preserve">Prosedur untuk menentukan materialitas untuk perusahaan pertambangan: </w:t>
      </w:r>
    </w:p>
    <w:p w:rsidR="007E79F8" w:rsidRPr="007E79F8" w:rsidRDefault="00E0239E" w:rsidP="003527BB">
      <w:pPr>
        <w:pStyle w:val="ListParagraph"/>
        <w:numPr>
          <w:ilvl w:val="0"/>
          <w:numId w:val="2"/>
        </w:numPr>
        <w:spacing w:after="120" w:line="240" w:lineRule="auto"/>
        <w:contextualSpacing w:val="0"/>
        <w:jc w:val="both"/>
        <w:rPr>
          <w:rFonts w:asciiTheme="majorHAnsi" w:hAnsiTheme="majorHAnsi"/>
          <w:b/>
          <w:i/>
        </w:rPr>
      </w:pPr>
      <w:r>
        <w:rPr>
          <w:rFonts w:asciiTheme="majorHAnsi" w:hAnsiTheme="majorHAnsi"/>
        </w:rPr>
        <w:t xml:space="preserve">Langkah pertama dalam menetapkan bataw materialitas untuk perusahaan tambang adalah memasukkan semua pembayaran pajak dan bukan-pajak yang dilakukan oleh perusahaan di tahun 2009. Semua perusahaan yang membayar secara kumulatif hingga 70 persen dari total penerimaan tambang di tahun 2009 dikategorikan sebagai material untuk laporan </w:t>
      </w:r>
      <w:r w:rsidR="00D56C3C" w:rsidRPr="00D56C3C">
        <w:rPr>
          <w:rFonts w:asciiTheme="majorHAnsi" w:hAnsiTheme="majorHAnsi"/>
        </w:rPr>
        <w:t xml:space="preserve">EITI </w:t>
      </w:r>
      <w:r>
        <w:rPr>
          <w:rFonts w:asciiTheme="majorHAnsi" w:hAnsiTheme="majorHAnsi"/>
        </w:rPr>
        <w:t xml:space="preserve">tahun </w:t>
      </w:r>
      <w:r w:rsidR="00D56C3C" w:rsidRPr="00D56C3C">
        <w:rPr>
          <w:rFonts w:asciiTheme="majorHAnsi" w:hAnsiTheme="majorHAnsi"/>
        </w:rPr>
        <w:t xml:space="preserve">2010 </w:t>
      </w:r>
      <w:r>
        <w:rPr>
          <w:rFonts w:asciiTheme="majorHAnsi" w:hAnsiTheme="majorHAnsi"/>
        </w:rPr>
        <w:t xml:space="preserve">dan </w:t>
      </w:r>
      <w:r w:rsidR="00D56C3C" w:rsidRPr="00D56C3C">
        <w:rPr>
          <w:rFonts w:asciiTheme="majorHAnsi" w:hAnsiTheme="majorHAnsi"/>
        </w:rPr>
        <w:t xml:space="preserve">2011. </w:t>
      </w:r>
    </w:p>
    <w:p w:rsidR="00825683" w:rsidRPr="007E79F8" w:rsidRDefault="00825683" w:rsidP="003527BB">
      <w:pPr>
        <w:spacing w:after="120" w:line="240" w:lineRule="auto"/>
        <w:ind w:left="720"/>
        <w:jc w:val="both"/>
        <w:rPr>
          <w:rFonts w:asciiTheme="majorHAnsi" w:hAnsiTheme="majorHAnsi"/>
          <w:b/>
          <w:i/>
        </w:rPr>
      </w:pPr>
      <w:r w:rsidRPr="007E79F8">
        <w:rPr>
          <w:rFonts w:asciiTheme="majorHAnsi" w:hAnsiTheme="majorHAnsi"/>
        </w:rPr>
        <w:t xml:space="preserve">Karena pertambangan hanya </w:t>
      </w:r>
      <w:r w:rsidR="007E79F8" w:rsidRPr="007E79F8">
        <w:rPr>
          <w:rFonts w:asciiTheme="majorHAnsi" w:hAnsiTheme="majorHAnsi"/>
        </w:rPr>
        <w:t>berkontribusi</w:t>
      </w:r>
      <w:r w:rsidRPr="007E79F8">
        <w:rPr>
          <w:rFonts w:asciiTheme="majorHAnsi" w:hAnsiTheme="majorHAnsi"/>
        </w:rPr>
        <w:t xml:space="preserve"> 16% dari total pendapatan industri ekstraktif di tahun 2009, dan semua perusahaan migas dianggap material untuk tujuan pelaporan, maka batas 70% untuk pertambangan dapat diterapkan di laporan 2010 dan 2011, di mana akan diperoleh sekitar 95% dari total penerimaan di Indonesia. </w:t>
      </w:r>
    </w:p>
    <w:p w:rsidR="00825683" w:rsidRPr="00825683" w:rsidRDefault="00FF6739" w:rsidP="003527BB">
      <w:pPr>
        <w:pStyle w:val="ListParagraph"/>
        <w:numPr>
          <w:ilvl w:val="0"/>
          <w:numId w:val="2"/>
        </w:numPr>
        <w:spacing w:after="120" w:line="240" w:lineRule="auto"/>
        <w:contextualSpacing w:val="0"/>
        <w:jc w:val="both"/>
        <w:rPr>
          <w:rFonts w:asciiTheme="majorHAnsi" w:hAnsiTheme="majorHAnsi"/>
          <w:b/>
          <w:i/>
        </w:rPr>
      </w:pPr>
      <w:r>
        <w:rPr>
          <w:rFonts w:asciiTheme="majorHAnsi" w:hAnsiTheme="majorHAnsi"/>
        </w:rPr>
        <w:t xml:space="preserve">Untuk </w:t>
      </w:r>
      <w:r w:rsidR="00825683">
        <w:rPr>
          <w:rFonts w:asciiTheme="majorHAnsi" w:hAnsiTheme="majorHAnsi"/>
        </w:rPr>
        <w:t>memasukkan perusahaan baru yang sebelumnya belum termasuk di laporan 2009 namun telah berkontribusi di ta</w:t>
      </w:r>
      <w:r w:rsidR="005D19D1">
        <w:rPr>
          <w:rFonts w:asciiTheme="majorHAnsi" w:hAnsiTheme="majorHAnsi"/>
        </w:rPr>
        <w:t xml:space="preserve">hun 2010, ruang lingkup menetapkan materialitas untuk tahun 2010 adalah perusahaan yang membayar royalti lebih dari 2,5 juga dolar AS di tahun 2010. </w:t>
      </w:r>
      <w:r w:rsidR="00E94B46">
        <w:rPr>
          <w:rFonts w:asciiTheme="majorHAnsi" w:hAnsiTheme="majorHAnsi"/>
        </w:rPr>
        <w:t xml:space="preserve">Secara kumulatif, </w:t>
      </w:r>
      <w:r w:rsidR="005D19D1">
        <w:rPr>
          <w:rFonts w:asciiTheme="majorHAnsi" w:hAnsiTheme="majorHAnsi"/>
        </w:rPr>
        <w:t xml:space="preserve">pembayaran </w:t>
      </w:r>
      <w:r w:rsidR="00722E7A">
        <w:rPr>
          <w:rFonts w:asciiTheme="majorHAnsi" w:hAnsiTheme="majorHAnsi"/>
        </w:rPr>
        <w:t>royalti</w:t>
      </w:r>
      <w:r w:rsidR="005D19D1">
        <w:rPr>
          <w:rFonts w:asciiTheme="majorHAnsi" w:hAnsiTheme="majorHAnsi"/>
        </w:rPr>
        <w:t xml:space="preserve"> yang dibuat oleh perusahaan yang membayar </w:t>
      </w:r>
      <w:r w:rsidR="00DC51E0">
        <w:rPr>
          <w:rFonts w:asciiTheme="majorHAnsi" w:hAnsiTheme="majorHAnsi"/>
        </w:rPr>
        <w:t>royalti</w:t>
      </w:r>
      <w:r w:rsidR="005D19D1">
        <w:rPr>
          <w:rFonts w:asciiTheme="majorHAnsi" w:hAnsiTheme="majorHAnsi"/>
        </w:rPr>
        <w:t xml:space="preserve"> di atas 2,5 juta dolar AS tersebut diperkirakan telah memenuhi 90% dari semua royalti tambang yang dibayar di tahun 2010 (sesuai data yang diberikan oleh Ditjen Minerba).</w:t>
      </w:r>
    </w:p>
    <w:p w:rsidR="00FF6739" w:rsidRDefault="00FF6739" w:rsidP="003527BB">
      <w:pPr>
        <w:pStyle w:val="ListParagraph"/>
        <w:numPr>
          <w:ilvl w:val="0"/>
          <w:numId w:val="2"/>
        </w:numPr>
        <w:spacing w:before="100" w:beforeAutospacing="1" w:after="120" w:line="240" w:lineRule="auto"/>
        <w:contextualSpacing w:val="0"/>
        <w:jc w:val="both"/>
        <w:rPr>
          <w:rFonts w:asciiTheme="majorHAnsi" w:hAnsiTheme="majorHAnsi"/>
        </w:rPr>
      </w:pPr>
      <w:r>
        <w:rPr>
          <w:rFonts w:asciiTheme="majorHAnsi" w:hAnsiTheme="majorHAnsi"/>
        </w:rPr>
        <w:t>Untuk memasukkan perusahaan pertambangan yang memulai operasi di tahun 2011, sebagai tambahan dari material</w:t>
      </w:r>
      <w:r w:rsidR="00722E7A">
        <w:rPr>
          <w:rFonts w:asciiTheme="majorHAnsi" w:hAnsiTheme="majorHAnsi"/>
        </w:rPr>
        <w:t xml:space="preserve">itas pertambangan di tahun 2010, juga ditentukan perusahaan yang material untuk laporan tahun 2011, yaitu perusahan yang membayar royalti lebih besar dari 2,5 dolar AS di tahun 2011. </w:t>
      </w:r>
      <w:r w:rsidR="00E94B46">
        <w:rPr>
          <w:rFonts w:asciiTheme="majorHAnsi" w:hAnsiTheme="majorHAnsi"/>
        </w:rPr>
        <w:t xml:space="preserve">Secara kumulatif, </w:t>
      </w:r>
      <w:r w:rsidR="00DC51E0">
        <w:rPr>
          <w:rFonts w:asciiTheme="majorHAnsi" w:hAnsiTheme="majorHAnsi"/>
        </w:rPr>
        <w:t>pembayaran royalti yang dibuat oleh perusahaan yang membayar royalti di atas 2,5 juta dolar AS tersebut diperkirakan telah memenuhi 88% dari semua royalti tambang yang dibayar di tahun 2011 (sesuai data yang diberikan oleh Ditjen Minerba).</w:t>
      </w:r>
    </w:p>
    <w:p w:rsidR="00D56C3C" w:rsidRPr="00D56C3C" w:rsidRDefault="00AD7A25" w:rsidP="003527BB">
      <w:pPr>
        <w:pStyle w:val="ListParagraph"/>
        <w:numPr>
          <w:ilvl w:val="0"/>
          <w:numId w:val="2"/>
        </w:numPr>
        <w:spacing w:before="100" w:beforeAutospacing="1" w:after="120" w:line="240" w:lineRule="auto"/>
        <w:contextualSpacing w:val="0"/>
        <w:jc w:val="both"/>
        <w:rPr>
          <w:rFonts w:asciiTheme="majorHAnsi" w:hAnsiTheme="majorHAnsi"/>
          <w:b/>
          <w:i/>
        </w:rPr>
      </w:pPr>
      <w:r>
        <w:rPr>
          <w:rFonts w:asciiTheme="majorHAnsi" w:hAnsiTheme="majorHAnsi"/>
        </w:rPr>
        <w:t>Hasil dari penentuan batas materialitas tersebut ditunjukkan pada tabel di bawah ini, di mana 53</w:t>
      </w:r>
      <w:r w:rsidR="00D56C3C" w:rsidRPr="00D56C3C">
        <w:rPr>
          <w:rFonts w:asciiTheme="majorHAnsi" w:hAnsiTheme="majorHAnsi"/>
        </w:rPr>
        <w:t xml:space="preserve"> </w:t>
      </w:r>
      <w:r>
        <w:rPr>
          <w:rFonts w:asciiTheme="majorHAnsi" w:hAnsiTheme="majorHAnsi"/>
        </w:rPr>
        <w:t xml:space="preserve">perusahaan tambang adalah material untuk laporan tahun 2010 dan 83 perusahaan tambang adalah </w:t>
      </w:r>
      <w:r w:rsidR="00D56C3C" w:rsidRPr="00D56C3C">
        <w:rPr>
          <w:rFonts w:asciiTheme="majorHAnsi" w:hAnsiTheme="majorHAnsi"/>
        </w:rPr>
        <w:t xml:space="preserve">material </w:t>
      </w:r>
      <w:r>
        <w:rPr>
          <w:rFonts w:asciiTheme="majorHAnsi" w:hAnsiTheme="majorHAnsi"/>
        </w:rPr>
        <w:t xml:space="preserve">untuk laporan tahun </w:t>
      </w:r>
      <w:r w:rsidR="00D56C3C" w:rsidRPr="00D56C3C">
        <w:rPr>
          <w:rFonts w:asciiTheme="majorHAnsi" w:hAnsiTheme="majorHAnsi"/>
        </w:rPr>
        <w:t xml:space="preserve">2011.  </w:t>
      </w:r>
      <w:r>
        <w:rPr>
          <w:rFonts w:asciiTheme="majorHAnsi" w:hAnsiTheme="majorHAnsi"/>
        </w:rPr>
        <w:t xml:space="preserve">Lampiran </w:t>
      </w:r>
      <w:r w:rsidR="00D56C3C" w:rsidRPr="00D56C3C">
        <w:rPr>
          <w:rFonts w:asciiTheme="majorHAnsi" w:hAnsiTheme="majorHAnsi"/>
        </w:rPr>
        <w:t xml:space="preserve">6 </w:t>
      </w:r>
      <w:r>
        <w:rPr>
          <w:rFonts w:asciiTheme="majorHAnsi" w:hAnsiTheme="majorHAnsi"/>
        </w:rPr>
        <w:t>memaparkan daftar dari perusahaan tambang tersebut.</w:t>
      </w:r>
      <w:r w:rsidR="00D56C3C" w:rsidRPr="00D56C3C">
        <w:rPr>
          <w:rFonts w:asciiTheme="majorHAnsi" w:hAnsiTheme="majorHAnsi"/>
        </w:rPr>
        <w:t xml:space="preserve">  </w:t>
      </w:r>
    </w:p>
    <w:p w:rsidR="00D56C3C" w:rsidRPr="00D56C3C" w:rsidRDefault="00E94B46" w:rsidP="003527BB">
      <w:pPr>
        <w:spacing w:after="120" w:line="240" w:lineRule="auto"/>
        <w:rPr>
          <w:rFonts w:asciiTheme="majorHAnsi" w:hAnsiTheme="majorHAnsi"/>
          <w:i/>
        </w:rPr>
      </w:pPr>
      <w:r>
        <w:rPr>
          <w:rFonts w:asciiTheme="majorHAnsi" w:hAnsiTheme="majorHAnsi"/>
          <w:i/>
        </w:rPr>
        <w:t>Tab</w:t>
      </w:r>
      <w:r w:rsidR="00D56C3C" w:rsidRPr="00D56C3C">
        <w:rPr>
          <w:rFonts w:asciiTheme="majorHAnsi" w:hAnsiTheme="majorHAnsi"/>
          <w:i/>
        </w:rPr>
        <w:t>e</w:t>
      </w:r>
      <w:r>
        <w:rPr>
          <w:rFonts w:asciiTheme="majorHAnsi" w:hAnsiTheme="majorHAnsi"/>
          <w:i/>
        </w:rPr>
        <w:t>l</w:t>
      </w:r>
      <w:r w:rsidR="00D56C3C" w:rsidRPr="00D56C3C">
        <w:rPr>
          <w:rFonts w:asciiTheme="majorHAnsi" w:hAnsiTheme="majorHAnsi"/>
          <w:i/>
        </w:rPr>
        <w:t xml:space="preserve"> 6: </w:t>
      </w:r>
      <w:r>
        <w:rPr>
          <w:rFonts w:asciiTheme="majorHAnsi" w:hAnsiTheme="majorHAnsi"/>
          <w:i/>
        </w:rPr>
        <w:t>Batas Materialitas untuk Perusahaan Pertambangan untuk Laporan Tahun 2010</w:t>
      </w:r>
    </w:p>
    <w:tbl>
      <w:tblPr>
        <w:tblStyle w:val="TableGrid"/>
        <w:tblW w:w="9356" w:type="dxa"/>
        <w:tblInd w:w="108" w:type="dxa"/>
        <w:tblLook w:val="04A0"/>
      </w:tblPr>
      <w:tblGrid>
        <w:gridCol w:w="4111"/>
        <w:gridCol w:w="3260"/>
        <w:gridCol w:w="1985"/>
      </w:tblGrid>
      <w:tr w:rsidR="00D56C3C" w:rsidRPr="005B24CE" w:rsidTr="00610DF6">
        <w:tc>
          <w:tcPr>
            <w:tcW w:w="4111" w:type="dxa"/>
          </w:tcPr>
          <w:p w:rsidR="00D56C3C" w:rsidRPr="005B24CE" w:rsidRDefault="00E94B46" w:rsidP="003527BB">
            <w:pPr>
              <w:spacing w:after="120"/>
              <w:jc w:val="center"/>
              <w:rPr>
                <w:rFonts w:asciiTheme="majorHAnsi" w:hAnsiTheme="majorHAnsi"/>
                <w:b/>
              </w:rPr>
            </w:pPr>
            <w:r w:rsidRPr="005B24CE">
              <w:rPr>
                <w:rFonts w:asciiTheme="majorHAnsi" w:hAnsiTheme="majorHAnsi"/>
                <w:b/>
              </w:rPr>
              <w:t xml:space="preserve">Jumlah perusahaan yang secara kumulatif memberikan 70 persen kontribusi sektor tambang di tahun </w:t>
            </w:r>
            <w:r w:rsidR="00D56C3C" w:rsidRPr="005B24CE">
              <w:rPr>
                <w:rFonts w:asciiTheme="majorHAnsi" w:hAnsiTheme="majorHAnsi"/>
                <w:b/>
              </w:rPr>
              <w:t>2009</w:t>
            </w:r>
          </w:p>
        </w:tc>
        <w:tc>
          <w:tcPr>
            <w:tcW w:w="3260" w:type="dxa"/>
          </w:tcPr>
          <w:p w:rsidR="00D56C3C" w:rsidRPr="005B24CE" w:rsidRDefault="00F24A66" w:rsidP="003527BB">
            <w:pPr>
              <w:spacing w:after="120"/>
              <w:jc w:val="center"/>
              <w:rPr>
                <w:rFonts w:asciiTheme="majorHAnsi" w:hAnsiTheme="majorHAnsi"/>
                <w:b/>
              </w:rPr>
            </w:pPr>
            <w:r w:rsidRPr="005B24CE">
              <w:rPr>
                <w:rFonts w:asciiTheme="majorHAnsi" w:hAnsiTheme="majorHAnsi"/>
                <w:b/>
              </w:rPr>
              <w:t xml:space="preserve">Perusahaan baru di tahun 2010 yang membayar royalty di atas 2,5 juta dolar AS </w:t>
            </w:r>
          </w:p>
        </w:tc>
        <w:tc>
          <w:tcPr>
            <w:tcW w:w="1985" w:type="dxa"/>
          </w:tcPr>
          <w:p w:rsidR="00D56C3C" w:rsidRPr="005B24CE" w:rsidRDefault="00D56C3C" w:rsidP="003527BB">
            <w:pPr>
              <w:spacing w:after="120"/>
              <w:jc w:val="center"/>
              <w:rPr>
                <w:rFonts w:asciiTheme="majorHAnsi" w:hAnsiTheme="majorHAnsi"/>
                <w:b/>
              </w:rPr>
            </w:pPr>
            <w:r w:rsidRPr="005B24CE">
              <w:rPr>
                <w:rFonts w:asciiTheme="majorHAnsi" w:hAnsiTheme="majorHAnsi"/>
                <w:b/>
              </w:rPr>
              <w:t xml:space="preserve">Total </w:t>
            </w:r>
            <w:r w:rsidR="005D365E" w:rsidRPr="005B24CE">
              <w:rPr>
                <w:rFonts w:asciiTheme="majorHAnsi" w:hAnsiTheme="majorHAnsi"/>
                <w:b/>
              </w:rPr>
              <w:t xml:space="preserve">perusahaan untuk laporan tahun 2010 </w:t>
            </w:r>
          </w:p>
        </w:tc>
      </w:tr>
      <w:tr w:rsidR="00D56C3C" w:rsidRPr="005B24CE" w:rsidTr="00610DF6">
        <w:trPr>
          <w:trHeight w:val="243"/>
        </w:trPr>
        <w:tc>
          <w:tcPr>
            <w:tcW w:w="4111" w:type="dxa"/>
          </w:tcPr>
          <w:p w:rsidR="00D56C3C" w:rsidRPr="005B24CE" w:rsidRDefault="00D56C3C" w:rsidP="003527BB">
            <w:pPr>
              <w:spacing w:after="120"/>
              <w:jc w:val="center"/>
              <w:rPr>
                <w:rFonts w:asciiTheme="majorHAnsi" w:hAnsiTheme="majorHAnsi"/>
                <w:lang w:eastAsia="en-US"/>
              </w:rPr>
            </w:pPr>
            <w:r w:rsidRPr="005B24CE">
              <w:rPr>
                <w:rFonts w:asciiTheme="majorHAnsi" w:hAnsiTheme="majorHAnsi"/>
              </w:rPr>
              <w:t>39</w:t>
            </w:r>
          </w:p>
        </w:tc>
        <w:tc>
          <w:tcPr>
            <w:tcW w:w="3260" w:type="dxa"/>
          </w:tcPr>
          <w:p w:rsidR="00D56C3C" w:rsidRPr="005B24CE" w:rsidRDefault="00D56C3C" w:rsidP="003527BB">
            <w:pPr>
              <w:spacing w:after="120"/>
              <w:jc w:val="center"/>
              <w:rPr>
                <w:rFonts w:asciiTheme="majorHAnsi" w:hAnsiTheme="majorHAnsi"/>
                <w:lang w:eastAsia="en-US"/>
              </w:rPr>
            </w:pPr>
            <w:r w:rsidRPr="005B24CE">
              <w:rPr>
                <w:rFonts w:asciiTheme="majorHAnsi" w:hAnsiTheme="majorHAnsi"/>
              </w:rPr>
              <w:t>1</w:t>
            </w:r>
            <w:r w:rsidR="00F24A66" w:rsidRPr="005B24CE">
              <w:rPr>
                <w:rFonts w:asciiTheme="majorHAnsi" w:hAnsiTheme="majorHAnsi"/>
              </w:rPr>
              <w:t>4</w:t>
            </w:r>
          </w:p>
        </w:tc>
        <w:tc>
          <w:tcPr>
            <w:tcW w:w="1985" w:type="dxa"/>
          </w:tcPr>
          <w:p w:rsidR="00D56C3C" w:rsidRPr="005B24CE" w:rsidRDefault="00D56C3C" w:rsidP="003527BB">
            <w:pPr>
              <w:spacing w:after="120"/>
              <w:jc w:val="center"/>
              <w:rPr>
                <w:rFonts w:asciiTheme="majorHAnsi" w:hAnsiTheme="majorHAnsi"/>
                <w:lang w:eastAsia="en-US"/>
              </w:rPr>
            </w:pPr>
            <w:r w:rsidRPr="005B24CE">
              <w:rPr>
                <w:rFonts w:asciiTheme="majorHAnsi" w:hAnsiTheme="majorHAnsi"/>
              </w:rPr>
              <w:t>5</w:t>
            </w:r>
            <w:r w:rsidR="00CB0F70" w:rsidRPr="005B24CE">
              <w:rPr>
                <w:rFonts w:asciiTheme="majorHAnsi" w:hAnsiTheme="majorHAnsi"/>
              </w:rPr>
              <w:t>3</w:t>
            </w:r>
          </w:p>
        </w:tc>
      </w:tr>
    </w:tbl>
    <w:p w:rsidR="00D56C3C" w:rsidRPr="00D56C3C" w:rsidRDefault="00D56C3C" w:rsidP="00BE1389">
      <w:pPr>
        <w:spacing w:after="0" w:line="240" w:lineRule="auto"/>
        <w:rPr>
          <w:rFonts w:asciiTheme="majorHAnsi" w:hAnsiTheme="majorHAnsi"/>
          <w:i/>
        </w:rPr>
      </w:pPr>
    </w:p>
    <w:p w:rsidR="00D56C3C" w:rsidRPr="00D56C3C" w:rsidRDefault="00CB0F70" w:rsidP="00BE1389">
      <w:pPr>
        <w:spacing w:after="0" w:line="240" w:lineRule="auto"/>
        <w:rPr>
          <w:rFonts w:asciiTheme="majorHAnsi" w:hAnsiTheme="majorHAnsi"/>
          <w:i/>
        </w:rPr>
      </w:pPr>
      <w:r>
        <w:rPr>
          <w:rFonts w:asciiTheme="majorHAnsi" w:hAnsiTheme="majorHAnsi"/>
          <w:i/>
        </w:rPr>
        <w:t>Tab</w:t>
      </w:r>
      <w:r w:rsidR="00D56C3C" w:rsidRPr="00D56C3C">
        <w:rPr>
          <w:rFonts w:asciiTheme="majorHAnsi" w:hAnsiTheme="majorHAnsi"/>
          <w:i/>
        </w:rPr>
        <w:t>e</w:t>
      </w:r>
      <w:r>
        <w:rPr>
          <w:rFonts w:asciiTheme="majorHAnsi" w:hAnsiTheme="majorHAnsi"/>
          <w:i/>
        </w:rPr>
        <w:t>l</w:t>
      </w:r>
      <w:r w:rsidR="00D56C3C" w:rsidRPr="00D56C3C">
        <w:rPr>
          <w:rFonts w:asciiTheme="majorHAnsi" w:hAnsiTheme="majorHAnsi"/>
          <w:i/>
        </w:rPr>
        <w:t xml:space="preserve"> 7: </w:t>
      </w:r>
      <w:r>
        <w:rPr>
          <w:rFonts w:asciiTheme="majorHAnsi" w:hAnsiTheme="majorHAnsi"/>
          <w:i/>
        </w:rPr>
        <w:t xml:space="preserve">Batas Materialitas untuk Perusahaan Pertambangan untuk Laporan Tahun </w:t>
      </w:r>
      <w:r w:rsidR="00D56C3C" w:rsidRPr="00D56C3C">
        <w:rPr>
          <w:rFonts w:asciiTheme="majorHAnsi" w:hAnsiTheme="majorHAnsi"/>
          <w:i/>
        </w:rPr>
        <w:t xml:space="preserve">2011 </w:t>
      </w:r>
    </w:p>
    <w:tbl>
      <w:tblPr>
        <w:tblStyle w:val="TableGrid"/>
        <w:tblW w:w="9356" w:type="dxa"/>
        <w:tblInd w:w="108" w:type="dxa"/>
        <w:tblLook w:val="04A0"/>
      </w:tblPr>
      <w:tblGrid>
        <w:gridCol w:w="3261"/>
        <w:gridCol w:w="3827"/>
        <w:gridCol w:w="2268"/>
      </w:tblGrid>
      <w:tr w:rsidR="00CB0F70" w:rsidRPr="005B24CE" w:rsidTr="00610DF6">
        <w:tc>
          <w:tcPr>
            <w:tcW w:w="3261" w:type="dxa"/>
          </w:tcPr>
          <w:p w:rsidR="00CB0F70" w:rsidRPr="005B24CE" w:rsidRDefault="00CB0F70" w:rsidP="003527BB">
            <w:pPr>
              <w:spacing w:after="120"/>
              <w:jc w:val="center"/>
              <w:rPr>
                <w:rFonts w:asciiTheme="majorHAnsi" w:hAnsiTheme="majorHAnsi"/>
                <w:b/>
                <w:lang w:eastAsia="en-US"/>
              </w:rPr>
            </w:pPr>
            <w:r w:rsidRPr="005B24CE">
              <w:rPr>
                <w:rFonts w:asciiTheme="majorHAnsi" w:hAnsiTheme="majorHAnsi"/>
                <w:b/>
              </w:rPr>
              <w:t xml:space="preserve">Jumlah perusahaan yang material untuk laporan tahun 2010 </w:t>
            </w:r>
          </w:p>
        </w:tc>
        <w:tc>
          <w:tcPr>
            <w:tcW w:w="3827" w:type="dxa"/>
          </w:tcPr>
          <w:p w:rsidR="00CB0F70" w:rsidRPr="005B24CE" w:rsidRDefault="00CB0F70" w:rsidP="003527BB">
            <w:pPr>
              <w:spacing w:after="120"/>
              <w:jc w:val="center"/>
              <w:rPr>
                <w:rFonts w:asciiTheme="majorHAnsi" w:hAnsiTheme="majorHAnsi"/>
                <w:b/>
              </w:rPr>
            </w:pPr>
            <w:r w:rsidRPr="005B24CE">
              <w:rPr>
                <w:rFonts w:asciiTheme="majorHAnsi" w:hAnsiTheme="majorHAnsi"/>
                <w:b/>
              </w:rPr>
              <w:t xml:space="preserve">Perusahaan baru di tahun 2010 yang membayar royalty di atas 2,5 juta dolar AS </w:t>
            </w:r>
          </w:p>
        </w:tc>
        <w:tc>
          <w:tcPr>
            <w:tcW w:w="2268" w:type="dxa"/>
          </w:tcPr>
          <w:p w:rsidR="00CB0F70" w:rsidRPr="005B24CE" w:rsidRDefault="00CB0F70" w:rsidP="003527BB">
            <w:pPr>
              <w:spacing w:after="120"/>
              <w:jc w:val="center"/>
              <w:rPr>
                <w:rFonts w:asciiTheme="majorHAnsi" w:hAnsiTheme="majorHAnsi"/>
                <w:b/>
              </w:rPr>
            </w:pPr>
            <w:r w:rsidRPr="005B24CE">
              <w:rPr>
                <w:rFonts w:asciiTheme="majorHAnsi" w:hAnsiTheme="majorHAnsi"/>
                <w:b/>
              </w:rPr>
              <w:t xml:space="preserve">Total perusahaan untuk laporan tahun 2010 </w:t>
            </w:r>
          </w:p>
        </w:tc>
      </w:tr>
      <w:tr w:rsidR="00D56C3C" w:rsidRPr="005B24CE" w:rsidTr="00610DF6">
        <w:tc>
          <w:tcPr>
            <w:tcW w:w="3261" w:type="dxa"/>
          </w:tcPr>
          <w:p w:rsidR="00D56C3C" w:rsidRPr="005B24CE" w:rsidRDefault="00D56C3C" w:rsidP="003527BB">
            <w:pPr>
              <w:spacing w:after="120"/>
              <w:jc w:val="center"/>
              <w:rPr>
                <w:rFonts w:asciiTheme="majorHAnsi" w:hAnsiTheme="majorHAnsi"/>
              </w:rPr>
            </w:pPr>
            <w:r w:rsidRPr="005B24CE">
              <w:rPr>
                <w:rFonts w:asciiTheme="majorHAnsi" w:hAnsiTheme="majorHAnsi"/>
              </w:rPr>
              <w:t>5</w:t>
            </w:r>
            <w:r w:rsidR="00CB0F70" w:rsidRPr="005B24CE">
              <w:rPr>
                <w:rFonts w:asciiTheme="majorHAnsi" w:hAnsiTheme="majorHAnsi"/>
              </w:rPr>
              <w:t>3</w:t>
            </w:r>
          </w:p>
        </w:tc>
        <w:tc>
          <w:tcPr>
            <w:tcW w:w="3827" w:type="dxa"/>
          </w:tcPr>
          <w:p w:rsidR="00D56C3C" w:rsidRPr="005B24CE" w:rsidRDefault="00D56C3C" w:rsidP="003527BB">
            <w:pPr>
              <w:spacing w:after="120"/>
              <w:jc w:val="center"/>
              <w:rPr>
                <w:rFonts w:asciiTheme="majorHAnsi" w:hAnsiTheme="majorHAnsi"/>
              </w:rPr>
            </w:pPr>
            <w:r w:rsidRPr="005B24CE">
              <w:rPr>
                <w:rFonts w:asciiTheme="majorHAnsi" w:hAnsiTheme="majorHAnsi"/>
              </w:rPr>
              <w:t>3</w:t>
            </w:r>
            <w:r w:rsidR="00FF3E1B" w:rsidRPr="005B24CE">
              <w:rPr>
                <w:rFonts w:asciiTheme="majorHAnsi" w:hAnsiTheme="majorHAnsi"/>
              </w:rPr>
              <w:t>0</w:t>
            </w:r>
          </w:p>
        </w:tc>
        <w:tc>
          <w:tcPr>
            <w:tcW w:w="2268" w:type="dxa"/>
          </w:tcPr>
          <w:p w:rsidR="00D56C3C" w:rsidRPr="005B24CE" w:rsidRDefault="00D56C3C" w:rsidP="003527BB">
            <w:pPr>
              <w:spacing w:after="120"/>
              <w:jc w:val="center"/>
              <w:rPr>
                <w:rFonts w:asciiTheme="majorHAnsi" w:hAnsiTheme="majorHAnsi"/>
              </w:rPr>
            </w:pPr>
            <w:r w:rsidRPr="005B24CE">
              <w:rPr>
                <w:rFonts w:asciiTheme="majorHAnsi" w:hAnsiTheme="majorHAnsi"/>
              </w:rPr>
              <w:t>8</w:t>
            </w:r>
            <w:r w:rsidR="00FF3E1B" w:rsidRPr="005B24CE">
              <w:rPr>
                <w:rFonts w:asciiTheme="majorHAnsi" w:hAnsiTheme="majorHAnsi"/>
              </w:rPr>
              <w:t>3</w:t>
            </w:r>
          </w:p>
        </w:tc>
      </w:tr>
    </w:tbl>
    <w:p w:rsidR="00C82551" w:rsidRPr="00D56C3C" w:rsidRDefault="00C82551" w:rsidP="00BE1389"/>
    <w:sectPr w:rsidR="00C82551" w:rsidRPr="00D56C3C" w:rsidSect="005B24CE">
      <w:headerReference w:type="default" r:id="rId8"/>
      <w:pgSz w:w="11906" w:h="16838"/>
      <w:pgMar w:top="851" w:right="144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C69" w:rsidRDefault="00A06C69" w:rsidP="00D56C3C">
      <w:pPr>
        <w:spacing w:after="0" w:line="240" w:lineRule="auto"/>
      </w:pPr>
      <w:r>
        <w:separator/>
      </w:r>
    </w:p>
  </w:endnote>
  <w:endnote w:type="continuationSeparator" w:id="0">
    <w:p w:rsidR="00A06C69" w:rsidRDefault="00A06C69" w:rsidP="00D56C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C69" w:rsidRDefault="00A06C69" w:rsidP="00D56C3C">
      <w:pPr>
        <w:spacing w:after="0" w:line="240" w:lineRule="auto"/>
      </w:pPr>
      <w:r>
        <w:separator/>
      </w:r>
    </w:p>
  </w:footnote>
  <w:footnote w:type="continuationSeparator" w:id="0">
    <w:p w:rsidR="00A06C69" w:rsidRDefault="00A06C69" w:rsidP="00D56C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le"/>
      <w:id w:val="77547040"/>
      <w:placeholder>
        <w:docPart w:val="66654BFF3A504BB5AE5D81CEE06C33A6"/>
      </w:placeholder>
      <w:dataBinding w:prefixMappings="xmlns:ns0='http://schemas.openxmlformats.org/package/2006/metadata/core-properties' xmlns:ns1='http://purl.org/dc/elements/1.1/'" w:xpath="/ns0:coreProperties[1]/ns1:title[1]" w:storeItemID="{6C3C8BC8-F283-45AE-878A-BAB7291924A1}"/>
      <w:text/>
    </w:sdtPr>
    <w:sdtContent>
      <w:p w:rsidR="009C2E3F" w:rsidRDefault="009C2E3F">
        <w:pPr>
          <w:pStyle w:val="Header"/>
          <w:pBdr>
            <w:between w:val="single" w:sz="4" w:space="1" w:color="4F81BD" w:themeColor="accent1"/>
          </w:pBdr>
          <w:spacing w:line="276" w:lineRule="auto"/>
          <w:jc w:val="center"/>
        </w:pPr>
        <w:r>
          <w:rPr>
            <w:lang w:val="id-ID"/>
          </w:rPr>
          <w:t xml:space="preserve">Rapat Tim Pelaksana </w:t>
        </w:r>
        <w:r>
          <w:t xml:space="preserve"> - I. Materialitas Pertambangan</w:t>
        </w:r>
      </w:p>
    </w:sdtContent>
  </w:sdt>
  <w:sdt>
    <w:sdtPr>
      <w:alias w:val="Date"/>
      <w:id w:val="77547044"/>
      <w:placeholder>
        <w:docPart w:val="C9633435320743EBA558C2E1BFB3A8B2"/>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p w:rsidR="009C2E3F" w:rsidRDefault="009C2E3F">
        <w:pPr>
          <w:pStyle w:val="Header"/>
          <w:pBdr>
            <w:between w:val="single" w:sz="4" w:space="1" w:color="4F81BD" w:themeColor="accent1"/>
          </w:pBdr>
          <w:spacing w:line="276" w:lineRule="auto"/>
          <w:jc w:val="center"/>
        </w:pPr>
        <w:r>
          <w:t>28 Januari 2014</w:t>
        </w:r>
      </w:p>
    </w:sdtContent>
  </w:sdt>
  <w:p w:rsidR="009C2E3F" w:rsidRDefault="009C2E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77F81"/>
    <w:multiLevelType w:val="hybridMultilevel"/>
    <w:tmpl w:val="02FE37A8"/>
    <w:lvl w:ilvl="0" w:tplc="73CA7AB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E505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D56C3C"/>
    <w:rsid w:val="003527BB"/>
    <w:rsid w:val="004B5B17"/>
    <w:rsid w:val="005747D3"/>
    <w:rsid w:val="005B24CE"/>
    <w:rsid w:val="005D19D1"/>
    <w:rsid w:val="005D365E"/>
    <w:rsid w:val="00610DF6"/>
    <w:rsid w:val="007219EC"/>
    <w:rsid w:val="00722E7A"/>
    <w:rsid w:val="007E79F8"/>
    <w:rsid w:val="00825683"/>
    <w:rsid w:val="008834DA"/>
    <w:rsid w:val="009605CC"/>
    <w:rsid w:val="009C2E3F"/>
    <w:rsid w:val="00A06C69"/>
    <w:rsid w:val="00AD7A25"/>
    <w:rsid w:val="00BC4A77"/>
    <w:rsid w:val="00BE1389"/>
    <w:rsid w:val="00C2615E"/>
    <w:rsid w:val="00C82551"/>
    <w:rsid w:val="00CB0F70"/>
    <w:rsid w:val="00D44D1D"/>
    <w:rsid w:val="00D56C3C"/>
    <w:rsid w:val="00DA40AC"/>
    <w:rsid w:val="00DC51E0"/>
    <w:rsid w:val="00E0239E"/>
    <w:rsid w:val="00E94B46"/>
    <w:rsid w:val="00F24A66"/>
    <w:rsid w:val="00FF3E1B"/>
    <w:rsid w:val="00FF673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C3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C3C"/>
    <w:pPr>
      <w:ind w:left="720"/>
      <w:contextualSpacing/>
    </w:pPr>
  </w:style>
  <w:style w:type="table" w:styleId="TableGrid">
    <w:name w:val="Table Grid"/>
    <w:basedOn w:val="TableNormal"/>
    <w:uiPriority w:val="39"/>
    <w:rsid w:val="00D56C3C"/>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56C3C"/>
    <w:pPr>
      <w:spacing w:after="0" w:line="240" w:lineRule="auto"/>
    </w:pPr>
    <w:rPr>
      <w:lang w:val="en-US"/>
    </w:rPr>
  </w:style>
  <w:style w:type="paragraph" w:styleId="FootnoteText">
    <w:name w:val="footnote text"/>
    <w:basedOn w:val="Normal"/>
    <w:link w:val="FootnoteTextChar"/>
    <w:uiPriority w:val="99"/>
    <w:semiHidden/>
    <w:unhideWhenUsed/>
    <w:rsid w:val="00D56C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6C3C"/>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D56C3C"/>
    <w:rPr>
      <w:vertAlign w:val="superscript"/>
    </w:rPr>
  </w:style>
  <w:style w:type="paragraph" w:styleId="Header">
    <w:name w:val="header"/>
    <w:basedOn w:val="Normal"/>
    <w:link w:val="HeaderChar"/>
    <w:uiPriority w:val="99"/>
    <w:unhideWhenUsed/>
    <w:rsid w:val="009C2E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2E3F"/>
    <w:rPr>
      <w:rFonts w:ascii="Calibri" w:eastAsia="Calibri" w:hAnsi="Calibri" w:cs="Times New Roman"/>
      <w:lang w:val="en-US"/>
    </w:rPr>
  </w:style>
  <w:style w:type="paragraph" w:styleId="Footer">
    <w:name w:val="footer"/>
    <w:basedOn w:val="Normal"/>
    <w:link w:val="FooterChar"/>
    <w:uiPriority w:val="99"/>
    <w:semiHidden/>
    <w:unhideWhenUsed/>
    <w:rsid w:val="009C2E3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C2E3F"/>
    <w:rPr>
      <w:rFonts w:ascii="Calibri" w:eastAsia="Calibri" w:hAnsi="Calibri" w:cs="Times New Roman"/>
      <w:lang w:val="en-US"/>
    </w:rPr>
  </w:style>
  <w:style w:type="paragraph" w:styleId="BalloonText">
    <w:name w:val="Balloon Text"/>
    <w:basedOn w:val="Normal"/>
    <w:link w:val="BalloonTextChar"/>
    <w:uiPriority w:val="99"/>
    <w:semiHidden/>
    <w:unhideWhenUsed/>
    <w:rsid w:val="009C2E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E3F"/>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6654BFF3A504BB5AE5D81CEE06C33A6"/>
        <w:category>
          <w:name w:val="General"/>
          <w:gallery w:val="placeholder"/>
        </w:category>
        <w:types>
          <w:type w:val="bbPlcHdr"/>
        </w:types>
        <w:behaviors>
          <w:behavior w:val="content"/>
        </w:behaviors>
        <w:guid w:val="{DE8D59E6-FC54-4083-BE9C-C2CF9BDE9CD6}"/>
      </w:docPartPr>
      <w:docPartBody>
        <w:p w:rsidR="00000000" w:rsidRDefault="00E074AE" w:rsidP="00E074AE">
          <w:pPr>
            <w:pStyle w:val="66654BFF3A504BB5AE5D81CEE06C33A6"/>
          </w:pPr>
          <w:r>
            <w:t>[Type the document title]</w:t>
          </w:r>
        </w:p>
      </w:docPartBody>
    </w:docPart>
    <w:docPart>
      <w:docPartPr>
        <w:name w:val="C9633435320743EBA558C2E1BFB3A8B2"/>
        <w:category>
          <w:name w:val="General"/>
          <w:gallery w:val="placeholder"/>
        </w:category>
        <w:types>
          <w:type w:val="bbPlcHdr"/>
        </w:types>
        <w:behaviors>
          <w:behavior w:val="content"/>
        </w:behaviors>
        <w:guid w:val="{61F00C0B-1F15-4AAB-AFC3-9F7011553C06}"/>
      </w:docPartPr>
      <w:docPartBody>
        <w:p w:rsidR="00000000" w:rsidRDefault="00E074AE" w:rsidP="00E074AE">
          <w:pPr>
            <w:pStyle w:val="C9633435320743EBA558C2E1BFB3A8B2"/>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074AE"/>
    <w:rsid w:val="00E074AE"/>
    <w:rsid w:val="00F47C0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BB3566462A47EBA219FD5E84FAD2B4">
    <w:name w:val="91BB3566462A47EBA219FD5E84FAD2B4"/>
    <w:rsid w:val="00E074AE"/>
  </w:style>
  <w:style w:type="paragraph" w:customStyle="1" w:styleId="66654BFF3A504BB5AE5D81CEE06C33A6">
    <w:name w:val="66654BFF3A504BB5AE5D81CEE06C33A6"/>
    <w:rsid w:val="00E074AE"/>
  </w:style>
  <w:style w:type="paragraph" w:customStyle="1" w:styleId="C9633435320743EBA558C2E1BFB3A8B2">
    <w:name w:val="C9633435320743EBA558C2E1BFB3A8B2"/>
    <w:rsid w:val="00E074A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28 Januari 2014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506</Words>
  <Characters>2885</Characters>
  <Application>Microsoft Office Word</Application>
  <DocSecurity>0</DocSecurity>
  <Lines>24</Lines>
  <Paragraphs>6</Paragraphs>
  <ScaleCrop>false</ScaleCrop>
  <Company>Microsoft</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Rapat Tim Pelaksana  - I. Materialitas Pertambangan</dc:title>
  <dc:creator>user</dc:creator>
  <cp:lastModifiedBy>user</cp:lastModifiedBy>
  <cp:revision>28</cp:revision>
  <dcterms:created xsi:type="dcterms:W3CDTF">2014-01-22T06:41:00Z</dcterms:created>
  <dcterms:modified xsi:type="dcterms:W3CDTF">2014-01-23T02:33:00Z</dcterms:modified>
</cp:coreProperties>
</file>